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eastAsia="黑体"/>
          <w:sz w:val="52"/>
          <w:szCs w:val="52"/>
        </w:rPr>
      </w:pPr>
    </w:p>
    <w:p>
      <w:pPr>
        <w:jc w:val="center"/>
        <w:rPr>
          <w:rFonts w:eastAsia="黑体"/>
          <w:sz w:val="52"/>
          <w:szCs w:val="52"/>
        </w:rPr>
      </w:pP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jc w:val="center"/>
        <w:rPr>
          <w:b/>
          <w:sz w:val="72"/>
          <w:szCs w:val="72"/>
        </w:rPr>
      </w:pPr>
      <w:r>
        <w:rPr>
          <w:rFonts w:hAnsi="宋体"/>
          <w:b/>
          <w:sz w:val="72"/>
          <w:szCs w:val="72"/>
        </w:rPr>
        <w:t>保密协议</w:t>
      </w:r>
    </w:p>
    <w:p>
      <w:pPr>
        <w:jc w:val="center"/>
        <w:rPr>
          <w:rFonts w:eastAsia="黑体"/>
          <w:b/>
          <w:sz w:val="28"/>
          <w:szCs w:val="28"/>
        </w:rPr>
      </w:pPr>
    </w:p>
    <w:p>
      <w:pPr>
        <w:jc w:val="center"/>
        <w:rPr>
          <w:rFonts w:eastAsia="黑体"/>
          <w:b/>
          <w:sz w:val="28"/>
          <w:szCs w:val="28"/>
        </w:rPr>
      </w:pPr>
    </w:p>
    <w:p>
      <w:pPr>
        <w:jc w:val="center"/>
        <w:rPr>
          <w:rFonts w:eastAsia="黑体"/>
          <w:b/>
          <w:sz w:val="28"/>
          <w:szCs w:val="28"/>
          <w:lang w:val="en-US"/>
        </w:rPr>
      </w:pPr>
      <w:r>
        <w:rPr>
          <w:rFonts w:hint="eastAsia" w:eastAsia="黑体"/>
          <w:b/>
          <w:sz w:val="28"/>
          <w:szCs w:val="28"/>
        </w:rPr>
        <w:t>（编号：</w:t>
      </w:r>
      <w:r>
        <w:rPr>
          <w:rFonts w:hint="eastAsia" w:eastAsia="黑体"/>
          <w:b/>
          <w:sz w:val="28"/>
          <w:szCs w:val="28"/>
          <w:lang w:val="en-US"/>
        </w:rPr>
        <w:t xml:space="preserve">      ）</w:t>
      </w: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spacing w:afterLines="150"/>
        <w:jc w:val="center"/>
        <w:rPr>
          <w:b/>
          <w:sz w:val="32"/>
          <w:szCs w:val="32"/>
          <w:u w:val="single"/>
        </w:rPr>
      </w:pPr>
      <w:r>
        <w:rPr>
          <w:rFonts w:hint="eastAsia" w:hAnsi="宋体"/>
          <w:b/>
          <w:sz w:val="32"/>
          <w:szCs w:val="32"/>
        </w:rPr>
        <w:t>本协议由甲乙双方于</w:t>
      </w:r>
      <w:r>
        <w:rPr>
          <w:rFonts w:hint="eastAsia" w:hAnsi="宋体"/>
          <w:b/>
          <w:sz w:val="32"/>
          <w:szCs w:val="32"/>
          <w:lang w:val="en-US"/>
        </w:rPr>
        <w:t>2018</w:t>
      </w:r>
      <w:r>
        <w:rPr>
          <w:rFonts w:hAnsi="宋体"/>
          <w:b/>
          <w:sz w:val="32"/>
          <w:szCs w:val="32"/>
        </w:rPr>
        <w:t>年</w:t>
      </w:r>
      <w:r>
        <w:rPr>
          <w:rFonts w:hint="eastAsia"/>
          <w:snapToGrid w:val="0"/>
          <w:sz w:val="24"/>
        </w:rPr>
        <w:t>【】</w:t>
      </w:r>
      <w:r>
        <w:rPr>
          <w:rFonts w:hAnsi="宋体"/>
          <w:b/>
          <w:sz w:val="32"/>
          <w:szCs w:val="32"/>
        </w:rPr>
        <w:t>月</w:t>
      </w:r>
      <w:r>
        <w:rPr>
          <w:rFonts w:hint="eastAsia"/>
          <w:snapToGrid w:val="0"/>
          <w:sz w:val="24"/>
        </w:rPr>
        <w:t>【】</w:t>
      </w:r>
      <w:r>
        <w:rPr>
          <w:rFonts w:hint="eastAsia" w:hAnsi="宋体"/>
          <w:b/>
          <w:sz w:val="32"/>
          <w:szCs w:val="32"/>
          <w:lang w:val="en-US"/>
        </w:rPr>
        <w:t>日</w:t>
      </w:r>
      <w:r>
        <w:rPr>
          <w:rFonts w:hint="eastAsia" w:hAnsi="宋体"/>
          <w:b/>
          <w:sz w:val="32"/>
          <w:szCs w:val="32"/>
        </w:rPr>
        <w:t>签订于成都市锦江区</w:t>
      </w:r>
    </w:p>
    <w:p>
      <w:pPr>
        <w:jc w:val="center"/>
        <w:rPr>
          <w:rFonts w:eastAsia="黑体"/>
          <w:b/>
          <w:sz w:val="52"/>
          <w:szCs w:val="52"/>
        </w:rPr>
      </w:pPr>
    </w:p>
    <w:p>
      <w:pPr>
        <w:ind w:firstLine="1002" w:firstLineChars="192"/>
        <w:rPr>
          <w:rFonts w:eastAsia="黑体"/>
          <w:b/>
          <w:sz w:val="52"/>
          <w:szCs w:val="52"/>
        </w:rPr>
      </w:pPr>
    </w:p>
    <w:p>
      <w:pPr>
        <w:spacing w:afterLines="30" w:line="440" w:lineRule="exact"/>
        <w:ind w:firstLine="472"/>
        <w:rPr>
          <w:b/>
          <w:sz w:val="24"/>
        </w:rPr>
      </w:pPr>
      <w:r>
        <w:rPr>
          <w:b/>
          <w:sz w:val="24"/>
        </w:rPr>
        <w:br w:type="page"/>
      </w:r>
    </w:p>
    <w:p>
      <w:pPr>
        <w:spacing w:afterLines="30" w:line="440" w:lineRule="exact"/>
        <w:ind w:firstLine="472" w:firstLineChars="196"/>
        <w:rPr>
          <w:b/>
          <w:sz w:val="24"/>
        </w:rPr>
      </w:pPr>
      <w:r>
        <w:rPr>
          <w:rFonts w:hAnsi="宋体"/>
          <w:b/>
          <w:sz w:val="24"/>
        </w:rPr>
        <w:t>甲方：</w:t>
      </w:r>
      <w:r>
        <w:rPr>
          <w:rFonts w:hint="eastAsia" w:hAnsi="宋体"/>
          <w:b/>
          <w:sz w:val="24"/>
        </w:rPr>
        <w:t>四川省旅游投资集团有限责任公司</w:t>
      </w:r>
      <w:r>
        <w:rPr>
          <w:b/>
          <w:sz w:val="24"/>
        </w:rPr>
        <w:t>（</w:t>
      </w:r>
      <w:r>
        <w:rPr>
          <w:rFonts w:hAnsi="宋体"/>
          <w:b/>
          <w:sz w:val="24"/>
        </w:rPr>
        <w:t>以下简称</w:t>
      </w:r>
      <w:r>
        <w:rPr>
          <w:b/>
          <w:sz w:val="24"/>
        </w:rPr>
        <w:t>“</w:t>
      </w:r>
      <w:r>
        <w:rPr>
          <w:rFonts w:hAnsi="宋体"/>
          <w:b/>
          <w:sz w:val="24"/>
        </w:rPr>
        <w:t>甲方</w:t>
      </w:r>
      <w:r>
        <w:rPr>
          <w:b/>
          <w:sz w:val="24"/>
        </w:rPr>
        <w:t>”</w:t>
      </w:r>
      <w:r>
        <w:rPr>
          <w:rFonts w:hAnsi="宋体"/>
          <w:b/>
          <w:sz w:val="24"/>
        </w:rPr>
        <w:t>）</w:t>
      </w:r>
    </w:p>
    <w:p>
      <w:pPr>
        <w:spacing w:afterLines="30" w:line="440" w:lineRule="exact"/>
        <w:ind w:firstLine="472" w:firstLineChars="196"/>
        <w:rPr>
          <w:b/>
          <w:sz w:val="24"/>
        </w:rPr>
      </w:pPr>
      <w:r>
        <w:rPr>
          <w:rFonts w:hAnsi="宋体"/>
          <w:b/>
          <w:sz w:val="24"/>
        </w:rPr>
        <w:t>法定代表人：</w:t>
      </w:r>
      <w:r>
        <w:rPr>
          <w:rFonts w:hint="eastAsia" w:hAnsi="宋体"/>
          <w:b/>
          <w:sz w:val="24"/>
        </w:rPr>
        <w:t>任丁</w:t>
      </w:r>
    </w:p>
    <w:p>
      <w:pPr>
        <w:spacing w:afterLines="30" w:line="440" w:lineRule="exact"/>
        <w:ind w:firstLine="472" w:firstLineChars="196"/>
        <w:rPr>
          <w:rFonts w:hAnsi="宋体"/>
          <w:b/>
          <w:sz w:val="24"/>
          <w:highlight w:val="yellow"/>
        </w:rPr>
      </w:pPr>
      <w:r>
        <w:rPr>
          <w:rFonts w:hAnsi="宋体"/>
          <w:b/>
          <w:sz w:val="24"/>
        </w:rPr>
        <w:t>住所：</w:t>
      </w:r>
      <w:r>
        <w:rPr>
          <w:rFonts w:hint="eastAsia"/>
          <w:b/>
          <w:sz w:val="24"/>
        </w:rPr>
        <w:t>成都市锦江区人民南路二段80号</w:t>
      </w:r>
    </w:p>
    <w:p>
      <w:pPr>
        <w:spacing w:afterLines="30" w:line="440" w:lineRule="exact"/>
        <w:ind w:firstLine="472" w:firstLineChars="196"/>
        <w:rPr>
          <w:b/>
          <w:sz w:val="24"/>
        </w:rPr>
      </w:pPr>
    </w:p>
    <w:p>
      <w:pPr>
        <w:spacing w:beforeLines="50" w:afterLines="30" w:line="440" w:lineRule="exact"/>
        <w:ind w:firstLine="472" w:firstLineChars="196"/>
        <w:rPr>
          <w:b/>
          <w:sz w:val="24"/>
        </w:rPr>
      </w:pPr>
      <w:r>
        <w:rPr>
          <w:rFonts w:hAnsi="宋体"/>
          <w:b/>
          <w:sz w:val="24"/>
        </w:rPr>
        <w:t>乙方：</w:t>
      </w:r>
      <w:r>
        <w:rPr>
          <w:rFonts w:hint="eastAsia"/>
          <w:snapToGrid w:val="0"/>
          <w:sz w:val="24"/>
        </w:rPr>
        <w:t>【】</w:t>
      </w:r>
      <w:r>
        <w:rPr>
          <w:rFonts w:hAnsi="宋体"/>
          <w:b/>
          <w:sz w:val="24"/>
        </w:rPr>
        <w:t>（以下简称</w:t>
      </w:r>
      <w:r>
        <w:rPr>
          <w:b/>
          <w:sz w:val="24"/>
        </w:rPr>
        <w:t>“</w:t>
      </w:r>
      <w:r>
        <w:rPr>
          <w:rFonts w:hAnsi="宋体"/>
          <w:b/>
          <w:sz w:val="24"/>
        </w:rPr>
        <w:t>乙方</w:t>
      </w:r>
      <w:r>
        <w:rPr>
          <w:b/>
          <w:sz w:val="24"/>
        </w:rPr>
        <w:t>”</w:t>
      </w:r>
      <w:r>
        <w:rPr>
          <w:rFonts w:hAnsi="宋体"/>
          <w:b/>
          <w:sz w:val="24"/>
        </w:rPr>
        <w:t>）</w:t>
      </w:r>
    </w:p>
    <w:p>
      <w:pPr>
        <w:spacing w:afterLines="30" w:line="440" w:lineRule="exact"/>
        <w:ind w:firstLine="472" w:firstLineChars="196"/>
        <w:rPr>
          <w:rFonts w:hAnsi="宋体"/>
          <w:b/>
          <w:sz w:val="24"/>
        </w:rPr>
      </w:pPr>
      <w:r>
        <w:rPr>
          <w:rFonts w:hAnsi="宋体"/>
          <w:b/>
          <w:sz w:val="24"/>
        </w:rPr>
        <w:t>法定代表人：</w:t>
      </w:r>
      <w:r>
        <w:rPr>
          <w:rFonts w:hint="eastAsia"/>
          <w:snapToGrid w:val="0"/>
          <w:sz w:val="24"/>
        </w:rPr>
        <w:t>【】</w:t>
      </w:r>
    </w:p>
    <w:p>
      <w:pPr>
        <w:spacing w:afterLines="30" w:line="440" w:lineRule="exact"/>
        <w:ind w:firstLine="472" w:firstLineChars="196"/>
        <w:rPr>
          <w:b/>
          <w:sz w:val="24"/>
        </w:rPr>
      </w:pPr>
      <w:r>
        <w:rPr>
          <w:rFonts w:hAnsi="宋体"/>
          <w:b/>
          <w:sz w:val="24"/>
        </w:rPr>
        <w:t>住所：</w:t>
      </w:r>
      <w:r>
        <w:rPr>
          <w:rFonts w:hint="eastAsia"/>
          <w:snapToGrid w:val="0"/>
          <w:sz w:val="24"/>
        </w:rPr>
        <w:t>【】</w:t>
      </w:r>
    </w:p>
    <w:p>
      <w:pPr>
        <w:spacing w:beforeLines="100" w:afterLines="30" w:line="440" w:lineRule="exact"/>
        <w:ind w:firstLine="472" w:firstLineChars="196"/>
        <w:rPr>
          <w:b/>
          <w:sz w:val="24"/>
        </w:rPr>
      </w:pPr>
      <w:r>
        <w:rPr>
          <w:rFonts w:hAnsi="宋体"/>
          <w:b/>
          <w:sz w:val="24"/>
        </w:rPr>
        <w:t>鉴于：</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1、甲方系中国境内依法设立的法人主体，有进行</w:t>
      </w:r>
      <w:r>
        <w:rPr>
          <w:rFonts w:hint="eastAsia"/>
          <w:snapToGrid w:val="0"/>
          <w:sz w:val="24"/>
        </w:rPr>
        <w:t>【】</w:t>
      </w:r>
      <w:r>
        <w:rPr>
          <w:kern w:val="2"/>
          <w:sz w:val="24"/>
          <w:szCs w:val="24"/>
          <w:lang w:val="en-US"/>
        </w:rPr>
        <w:t>（以下简称为“本项目”）</w:t>
      </w:r>
      <w:r>
        <w:rPr>
          <w:rFonts w:hint="eastAsia"/>
          <w:kern w:val="2"/>
          <w:sz w:val="24"/>
          <w:szCs w:val="24"/>
          <w:lang w:val="en-US"/>
        </w:rPr>
        <w:t>的需求。</w:t>
      </w:r>
    </w:p>
    <w:p>
      <w:pPr>
        <w:autoSpaceDE w:val="0"/>
        <w:autoSpaceDN w:val="0"/>
        <w:adjustRightInd w:val="0"/>
        <w:spacing w:afterLines="30" w:line="440" w:lineRule="exact"/>
        <w:ind w:firstLine="480" w:firstLineChars="200"/>
        <w:jc w:val="both"/>
        <w:rPr>
          <w:kern w:val="2"/>
          <w:sz w:val="24"/>
          <w:szCs w:val="24"/>
          <w:lang w:val="en-US"/>
        </w:rPr>
      </w:pPr>
      <w:r>
        <w:rPr>
          <w:kern w:val="2"/>
          <w:sz w:val="24"/>
          <w:szCs w:val="24"/>
          <w:lang w:val="en-US"/>
        </w:rPr>
        <w:t>2、乙</w:t>
      </w:r>
      <w:r>
        <w:rPr>
          <w:rFonts w:hAnsi="宋体"/>
          <w:kern w:val="2"/>
          <w:sz w:val="24"/>
          <w:szCs w:val="24"/>
          <w:lang w:val="en-US"/>
        </w:rPr>
        <w:t>方</w:t>
      </w:r>
      <w:r>
        <w:rPr>
          <w:rFonts w:hint="eastAsia" w:hAnsi="宋体"/>
          <w:kern w:val="2"/>
          <w:sz w:val="24"/>
          <w:szCs w:val="24"/>
          <w:lang w:val="en-US"/>
        </w:rPr>
        <w:t>系依法设立的</w:t>
      </w:r>
      <w:r>
        <w:rPr>
          <w:rFonts w:hint="eastAsia"/>
          <w:snapToGrid w:val="0"/>
          <w:sz w:val="24"/>
        </w:rPr>
        <w:t>【】，</w:t>
      </w:r>
      <w:r>
        <w:rPr>
          <w:rFonts w:hint="eastAsia" w:hAnsi="宋体"/>
          <w:kern w:val="2"/>
          <w:sz w:val="24"/>
          <w:szCs w:val="24"/>
          <w:lang w:val="en-US"/>
        </w:rPr>
        <w:t>并具备丰富的</w:t>
      </w:r>
      <w:r>
        <w:rPr>
          <w:rFonts w:hint="eastAsia"/>
          <w:snapToGrid w:val="0"/>
          <w:sz w:val="24"/>
        </w:rPr>
        <w:t>【】</w:t>
      </w:r>
      <w:r>
        <w:rPr>
          <w:rFonts w:hint="eastAsia" w:hAnsi="宋体"/>
          <w:kern w:val="2"/>
          <w:sz w:val="24"/>
          <w:szCs w:val="24"/>
          <w:lang w:val="en-US"/>
        </w:rPr>
        <w:t>经验和相关资质条件</w:t>
      </w:r>
      <w:r>
        <w:rPr>
          <w:rFonts w:hAnsi="宋体"/>
          <w:kern w:val="2"/>
          <w:sz w:val="24"/>
          <w:szCs w:val="24"/>
          <w:lang w:val="en-US"/>
        </w:rPr>
        <w:t>。</w:t>
      </w:r>
    </w:p>
    <w:p>
      <w:pPr>
        <w:autoSpaceDE w:val="0"/>
        <w:autoSpaceDN w:val="0"/>
        <w:adjustRightInd w:val="0"/>
        <w:spacing w:beforeLines="50" w:afterLines="30" w:line="440" w:lineRule="exact"/>
        <w:ind w:firstLine="480" w:firstLineChars="200"/>
        <w:jc w:val="both"/>
        <w:rPr>
          <w:rFonts w:ascii="宋体" w:hAnsi="宋体"/>
          <w:kern w:val="2"/>
          <w:sz w:val="24"/>
          <w:szCs w:val="24"/>
          <w:lang w:val="en-US"/>
        </w:rPr>
      </w:pPr>
      <w:r>
        <w:rPr>
          <w:rFonts w:hAnsi="宋体"/>
          <w:kern w:val="2"/>
          <w:sz w:val="24"/>
          <w:szCs w:val="24"/>
          <w:lang w:val="en-US"/>
        </w:rPr>
        <w:t>根据</w:t>
      </w:r>
      <w:r>
        <w:rPr>
          <w:rFonts w:hint="eastAsia" w:hAnsi="宋体"/>
          <w:kern w:val="2"/>
          <w:sz w:val="24"/>
          <w:szCs w:val="24"/>
          <w:lang w:val="en-US"/>
        </w:rPr>
        <w:t>本项目合作需要</w:t>
      </w:r>
      <w:r>
        <w:rPr>
          <w:rFonts w:hAnsi="宋体"/>
          <w:kern w:val="2"/>
          <w:sz w:val="24"/>
          <w:szCs w:val="24"/>
          <w:lang w:val="en-US"/>
        </w:rPr>
        <w:t>，甲方</w:t>
      </w:r>
      <w:r>
        <w:rPr>
          <w:rFonts w:hint="eastAsia" w:hAnsi="宋体"/>
          <w:kern w:val="2"/>
          <w:sz w:val="24"/>
          <w:szCs w:val="24"/>
          <w:lang w:val="en-US"/>
        </w:rPr>
        <w:t>（信息披露方）</w:t>
      </w:r>
      <w:r>
        <w:rPr>
          <w:rFonts w:hAnsi="宋体"/>
          <w:kern w:val="2"/>
          <w:sz w:val="24"/>
          <w:szCs w:val="24"/>
          <w:lang w:val="en-US"/>
        </w:rPr>
        <w:t>需向乙方</w:t>
      </w:r>
      <w:r>
        <w:rPr>
          <w:rFonts w:hint="eastAsia" w:hAnsi="宋体"/>
          <w:kern w:val="2"/>
          <w:sz w:val="24"/>
          <w:szCs w:val="24"/>
          <w:lang w:val="en-US"/>
        </w:rPr>
        <w:t>（信息接收方）</w:t>
      </w:r>
      <w:r>
        <w:rPr>
          <w:rFonts w:hAnsi="宋体"/>
          <w:kern w:val="2"/>
          <w:sz w:val="24"/>
          <w:szCs w:val="24"/>
          <w:lang w:val="en-US"/>
        </w:rPr>
        <w:t>提供甲方及其相关方的资料</w:t>
      </w:r>
      <w:r>
        <w:rPr>
          <w:rFonts w:hint="eastAsia" w:hAnsi="宋体"/>
          <w:kern w:val="2"/>
          <w:sz w:val="24"/>
          <w:szCs w:val="24"/>
          <w:lang w:val="en-US"/>
        </w:rPr>
        <w:t>、</w:t>
      </w:r>
      <w:r>
        <w:rPr>
          <w:rFonts w:hAnsi="宋体"/>
          <w:kern w:val="2"/>
          <w:sz w:val="24"/>
          <w:szCs w:val="24"/>
          <w:lang w:val="en-US"/>
        </w:rPr>
        <w:t>文件</w:t>
      </w:r>
      <w:r>
        <w:rPr>
          <w:rFonts w:hint="eastAsia" w:hAnsi="宋体"/>
          <w:kern w:val="2"/>
          <w:sz w:val="24"/>
          <w:szCs w:val="24"/>
          <w:lang w:val="en-US"/>
        </w:rPr>
        <w:t>等信息，当乙方从甲方处获知的任何关于本项目或项目外的其他属于甲方的保密信息时，应从获知之时起承担严格的保密义务</w:t>
      </w:r>
      <w:r>
        <w:rPr>
          <w:rFonts w:hint="eastAsia" w:ascii="宋体" w:hAnsi="宋体"/>
          <w:kern w:val="2"/>
          <w:sz w:val="24"/>
          <w:szCs w:val="24"/>
          <w:lang w:val="en-US"/>
        </w:rPr>
        <w:t>,现经甲乙双方自愿平等、协商一致，就相关保密事宜约定如下，以供双方共同遵守：</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b/>
          <w:sz w:val="24"/>
          <w:szCs w:val="24"/>
          <w:lang w:val="en-US"/>
        </w:rPr>
        <w:t>保密信息</w:t>
      </w:r>
      <w:r>
        <w:rPr>
          <w:rFonts w:hint="eastAsia" w:ascii="宋体" w:hAnsi="宋体"/>
          <w:b/>
          <w:sz w:val="24"/>
        </w:rPr>
        <w:t>含义</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w:t>
      </w:r>
      <w:r>
        <w:rPr>
          <w:kern w:val="2"/>
          <w:sz w:val="24"/>
          <w:szCs w:val="24"/>
          <w:lang w:val="en-US"/>
        </w:rPr>
        <w:t>本协</w:t>
      </w:r>
      <w:r>
        <w:rPr>
          <w:rFonts w:asciiTheme="minorEastAsia" w:hAnsiTheme="minorEastAsia" w:eastAsiaTheme="minorEastAsia"/>
          <w:kern w:val="2"/>
          <w:sz w:val="24"/>
          <w:szCs w:val="24"/>
          <w:lang w:val="en-US"/>
        </w:rPr>
        <w:t>议所称“保密信息”</w:t>
      </w:r>
      <w:r>
        <w:rPr>
          <w:rFonts w:hint="eastAsia" w:asciiTheme="minorEastAsia" w:hAnsiTheme="minorEastAsia" w:eastAsiaTheme="minorEastAsia"/>
          <w:kern w:val="2"/>
          <w:sz w:val="24"/>
          <w:szCs w:val="24"/>
          <w:lang w:val="en-US"/>
        </w:rPr>
        <w:t>是</w:t>
      </w:r>
      <w:r>
        <w:rPr>
          <w:rFonts w:asciiTheme="minorEastAsia" w:hAnsiTheme="minorEastAsia" w:eastAsiaTheme="minorEastAsia"/>
          <w:kern w:val="2"/>
          <w:sz w:val="24"/>
          <w:szCs w:val="24"/>
          <w:lang w:val="en-US"/>
        </w:rPr>
        <w:t>指</w:t>
      </w:r>
      <w:r>
        <w:rPr>
          <w:rFonts w:hint="eastAsia" w:asciiTheme="minorEastAsia" w:hAnsiTheme="minorEastAsia" w:eastAsiaTheme="minorEastAsia"/>
          <w:kern w:val="2"/>
          <w:sz w:val="24"/>
          <w:szCs w:val="24"/>
          <w:lang w:val="en-US"/>
        </w:rPr>
        <w:t>在</w:t>
      </w:r>
      <w:r>
        <w:rPr>
          <w:rFonts w:asciiTheme="minorEastAsia" w:hAnsiTheme="minorEastAsia" w:eastAsiaTheme="minorEastAsia"/>
          <w:kern w:val="2"/>
          <w:sz w:val="24"/>
          <w:szCs w:val="24"/>
          <w:lang w:val="en-US"/>
        </w:rPr>
        <w:t>本项目服务过程中，</w:t>
      </w:r>
      <w:r>
        <w:rPr>
          <w:rFonts w:hint="eastAsia" w:asciiTheme="minorEastAsia" w:hAnsiTheme="minorEastAsia" w:eastAsiaTheme="minorEastAsia"/>
          <w:kern w:val="2"/>
          <w:sz w:val="24"/>
          <w:szCs w:val="24"/>
          <w:lang w:val="en-US"/>
        </w:rPr>
        <w:t>甲方以口头、书面、数码或其他任何形式向乙方提供或透漏的或者乙方因履行项目服务而知悉的</w:t>
      </w:r>
      <w:r>
        <w:rPr>
          <w:rFonts w:asciiTheme="minorEastAsia" w:hAnsiTheme="minorEastAsia" w:eastAsiaTheme="minorEastAsia"/>
          <w:kern w:val="2"/>
          <w:sz w:val="24"/>
          <w:szCs w:val="24"/>
          <w:lang w:val="en-US"/>
        </w:rPr>
        <w:t>、且无法</w:t>
      </w:r>
      <w:r>
        <w:rPr>
          <w:rFonts w:hint="eastAsia" w:asciiTheme="minorEastAsia" w:hAnsiTheme="minorEastAsia" w:eastAsiaTheme="minorEastAsia"/>
          <w:kern w:val="2"/>
          <w:sz w:val="24"/>
          <w:szCs w:val="24"/>
          <w:lang w:val="en-US"/>
        </w:rPr>
        <w:t>证明是在</w:t>
      </w:r>
      <w:r>
        <w:rPr>
          <w:rFonts w:asciiTheme="minorEastAsia" w:hAnsiTheme="minorEastAsia" w:eastAsiaTheme="minorEastAsia"/>
          <w:kern w:val="2"/>
          <w:sz w:val="24"/>
          <w:szCs w:val="24"/>
          <w:lang w:val="en-US"/>
        </w:rPr>
        <w:t>其他</w:t>
      </w:r>
      <w:r>
        <w:rPr>
          <w:rFonts w:hint="eastAsia" w:asciiTheme="minorEastAsia" w:hAnsiTheme="minorEastAsia" w:eastAsiaTheme="minorEastAsia"/>
          <w:kern w:val="2"/>
          <w:sz w:val="24"/>
          <w:szCs w:val="24"/>
          <w:lang w:val="en-US"/>
        </w:rPr>
        <w:t>正常</w:t>
      </w:r>
      <w:r>
        <w:rPr>
          <w:rFonts w:asciiTheme="minorEastAsia" w:hAnsiTheme="minorEastAsia" w:eastAsiaTheme="minorEastAsia"/>
          <w:kern w:val="2"/>
          <w:sz w:val="24"/>
          <w:szCs w:val="24"/>
          <w:lang w:val="en-US"/>
        </w:rPr>
        <w:t>公开渠道获得的所有</w:t>
      </w:r>
      <w:r>
        <w:rPr>
          <w:rFonts w:hint="eastAsia" w:asciiTheme="minorEastAsia" w:hAnsiTheme="minorEastAsia" w:eastAsiaTheme="minorEastAsia"/>
          <w:kern w:val="2"/>
          <w:sz w:val="24"/>
          <w:szCs w:val="24"/>
          <w:lang w:val="en-US"/>
        </w:rPr>
        <w:t>甲方及甲方相关方的商业机密、商业计划、交易信息、操作信息、技术信息、财务信息、经营信息、资产信息、项目信息（包括并不限于项目计划、项目安排及项目内容等）等信息</w:t>
      </w:r>
      <w:r>
        <w:rPr>
          <w:rFonts w:asciiTheme="minorEastAsia" w:hAnsiTheme="minorEastAsia" w:eastAsiaTheme="minorEastAsia"/>
          <w:kern w:val="2"/>
          <w:sz w:val="24"/>
          <w:szCs w:val="24"/>
          <w:lang w:val="en-US"/>
        </w:rPr>
        <w:t>，</w:t>
      </w:r>
      <w:r>
        <w:rPr>
          <w:rFonts w:hint="eastAsia" w:asciiTheme="minorEastAsia" w:hAnsiTheme="minorEastAsia" w:eastAsiaTheme="minorEastAsia"/>
          <w:kern w:val="2"/>
          <w:sz w:val="24"/>
          <w:szCs w:val="24"/>
          <w:lang w:val="en-US"/>
        </w:rPr>
        <w:t>以上信息</w:t>
      </w:r>
      <w:r>
        <w:rPr>
          <w:rFonts w:asciiTheme="minorEastAsia" w:hAnsiTheme="minorEastAsia" w:eastAsiaTheme="minorEastAsia"/>
          <w:kern w:val="2"/>
          <w:sz w:val="24"/>
          <w:szCs w:val="24"/>
          <w:lang w:val="en-US"/>
        </w:rPr>
        <w:t>包括书面资料和非书面资料。</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2、无</w:t>
      </w:r>
      <w:r>
        <w:rPr>
          <w:rFonts w:hint="eastAsia" w:asciiTheme="minorEastAsia" w:hAnsiTheme="minorEastAsia" w:eastAsiaTheme="minorEastAsia"/>
          <w:kern w:val="2"/>
          <w:sz w:val="24"/>
          <w:szCs w:val="24"/>
          <w:lang w:val="en-US"/>
        </w:rPr>
        <w:t>论是否以书面、口头或电子形式为载体（</w:t>
      </w:r>
      <w:r>
        <w:rPr>
          <w:rFonts w:hint="eastAsia"/>
          <w:kern w:val="2"/>
          <w:sz w:val="24"/>
          <w:szCs w:val="24"/>
          <w:lang w:val="en-US"/>
        </w:rPr>
        <w:t>形式包括但不限于口头、</w:t>
      </w:r>
      <w:r>
        <w:rPr>
          <w:kern w:val="2"/>
          <w:sz w:val="24"/>
          <w:szCs w:val="24"/>
          <w:lang w:val="en-US"/>
        </w:rPr>
        <w:t>文件、资料、</w:t>
      </w:r>
      <w:r>
        <w:rPr>
          <w:rFonts w:hint="eastAsia"/>
          <w:kern w:val="2"/>
          <w:sz w:val="24"/>
          <w:szCs w:val="24"/>
          <w:lang w:val="en-US"/>
        </w:rPr>
        <w:t>会议、</w:t>
      </w:r>
      <w:r>
        <w:rPr>
          <w:kern w:val="2"/>
          <w:sz w:val="24"/>
          <w:szCs w:val="24"/>
          <w:lang w:val="en-US"/>
        </w:rPr>
        <w:t>报告、信件、传真、磁带、磁盘、仪器</w:t>
      </w:r>
      <w:r>
        <w:rPr>
          <w:rFonts w:hint="eastAsia"/>
          <w:kern w:val="2"/>
          <w:sz w:val="24"/>
          <w:szCs w:val="24"/>
          <w:lang w:val="en-US"/>
        </w:rPr>
        <w:t>、电子</w:t>
      </w:r>
      <w:r>
        <w:rPr>
          <w:kern w:val="2"/>
          <w:sz w:val="24"/>
          <w:szCs w:val="24"/>
          <w:lang w:val="en-US"/>
        </w:rPr>
        <w:t>以及其他形式的载体</w:t>
      </w:r>
      <w:r>
        <w:rPr>
          <w:rFonts w:hint="eastAsia"/>
          <w:kern w:val="2"/>
          <w:sz w:val="24"/>
          <w:szCs w:val="24"/>
          <w:lang w:val="en-US"/>
        </w:rPr>
        <w:t>）</w:t>
      </w:r>
      <w:r>
        <w:rPr>
          <w:rFonts w:hint="eastAsia" w:asciiTheme="minorEastAsia" w:hAnsiTheme="minorEastAsia" w:eastAsiaTheme="minorEastAsia"/>
          <w:kern w:val="2"/>
          <w:sz w:val="24"/>
          <w:szCs w:val="24"/>
          <w:lang w:val="en-US"/>
        </w:rPr>
        <w:t>，无论是否标注为“机密信息”，该信息均属于保密信息的范围。</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3、就本协议而言，尽管有前述约定，以下各项不构成保密信息：</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（1）甲方已经主动公开的，属于公众领域的信息；</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（2）已经获得甲方的书面批准可以披露的信息。</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b/>
          <w:sz w:val="24"/>
          <w:szCs w:val="24"/>
          <w:lang w:val="en-US"/>
        </w:rPr>
        <w:t>保密</w:t>
      </w:r>
      <w:r>
        <w:rPr>
          <w:rFonts w:hint="eastAsia"/>
          <w:b/>
          <w:sz w:val="24"/>
          <w:szCs w:val="24"/>
          <w:lang w:val="en-US"/>
        </w:rPr>
        <w:t>义务</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1、乙方应保证对所有保密信息承担保密义务，未经甲方书面同意，乙方不得以任何方式全部或部分披露保密信息，亦不得用于与本项目服务目的之事无关的用途。</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2、乙方应将所有的保密信息采取足以保密的措施保管，如发现保密信息被泄露或者因乙方过失泄露保密信息的，应当采取有效措施防止损失进一步扩大，并在24小时内向甲方报告。</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3、在任何情况下，乙方不得将保密信息用于可能损害甲方利益的情形，不得为自身利益而基于商业目的使用。</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4、根据法律、法规和其他规范性文件的强制性规定或中国证监会、证券交易所的书面或口头要求，乙方必须披露保密信息的，上述披露不视为违反保密义务，但乙方应：</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（1）在披露前及时通知甲方该要求；</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（2）将该披露控制在要求的最小范围内。</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5、乙方应确保其法定代表人、授权代表、董事、高管及其他因与乙方存在雇佣关系、合作关系而知晓保密信息的人员（统称为“乙方关联方”）也应承担本协议下相同的保密义务，乙方关联方的保密义务不因其与乙方雇佣关系、合作关系的解除而终止。</w:t>
      </w:r>
    </w:p>
    <w:p>
      <w:pPr>
        <w:tabs>
          <w:tab w:val="left" w:pos="0"/>
          <w:tab w:val="left" w:pos="900"/>
        </w:tabs>
        <w:spacing w:beforeLines="50" w:afterLines="50" w:line="360" w:lineRule="auto"/>
        <w:ind w:firstLine="540" w:firstLineChars="225"/>
        <w:rPr>
          <w:kern w:val="2"/>
          <w:sz w:val="24"/>
          <w:szCs w:val="24"/>
          <w:lang w:val="en-US"/>
        </w:rPr>
      </w:pPr>
      <w:r>
        <w:rPr>
          <w:rFonts w:hint="eastAsia"/>
          <w:kern w:val="2"/>
          <w:sz w:val="24"/>
          <w:szCs w:val="24"/>
          <w:lang w:val="en-US"/>
        </w:rPr>
        <w:t>6、</w:t>
      </w:r>
      <w:r>
        <w:rPr>
          <w:rFonts w:hint="eastAsia"/>
          <w:sz w:val="24"/>
        </w:rPr>
        <w:t>如果甲乙双方最终不能达成合作，乙方应迅速返还给甲方所有</w:t>
      </w:r>
      <w:r>
        <w:rPr>
          <w:rFonts w:hint="eastAsia"/>
          <w:sz w:val="24"/>
          <w:lang w:val="en-US"/>
        </w:rPr>
        <w:t>已提供的</w:t>
      </w:r>
      <w:r>
        <w:rPr>
          <w:rFonts w:hint="eastAsia"/>
          <w:sz w:val="24"/>
        </w:rPr>
        <w:t>相关资料，不得保留相关资料的整个文件或其部分内容的任何复印件、摘录、</w:t>
      </w:r>
      <w:r>
        <w:rPr>
          <w:rFonts w:hint="eastAsia"/>
          <w:sz w:val="24"/>
          <w:lang w:val="en-US"/>
        </w:rPr>
        <w:t>电子文件</w:t>
      </w:r>
      <w:r>
        <w:rPr>
          <w:rFonts w:hint="eastAsia"/>
          <w:sz w:val="24"/>
        </w:rPr>
        <w:t>或其他任何复制品。</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b/>
          <w:sz w:val="24"/>
          <w:szCs w:val="24"/>
          <w:lang w:val="en-US"/>
        </w:rPr>
        <w:t>保密期限</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1、本协议下乙方的保密义务自乙方获知保密信息之时起，直至甲方以书面形式明确表示乙方无须再负保密义务，或经甲方主动公开，信息资料已不具有非公开性、保密性、专有性时止。</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2、保密信息部分被公开的，乙方对其他部分保密信息仍负有保密义务。</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3、本协议自生效之日起持续有效，乙方的保密义务不因其与甲方之间的合作关系解除等情形而终止。</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b/>
          <w:sz w:val="24"/>
          <w:szCs w:val="24"/>
          <w:lang w:val="en-US"/>
        </w:rPr>
        <w:t>违约责任</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1、若乙方未履行本协议规定的保密义务，但尚未给甲方造成损失或严重后果的，甲方可以终止或解除与乙方之间的合作关系，乙方应当承担人民币</w:t>
      </w:r>
      <w:r>
        <w:rPr>
          <w:rFonts w:hint="eastAsia"/>
          <w:snapToGrid w:val="0"/>
          <w:sz w:val="24"/>
        </w:rPr>
        <w:t>【】</w:t>
      </w:r>
      <w:r>
        <w:rPr>
          <w:rFonts w:hint="eastAsia"/>
          <w:kern w:val="2"/>
          <w:sz w:val="24"/>
          <w:szCs w:val="24"/>
          <w:lang w:val="en-US"/>
        </w:rPr>
        <w:t>万元（大写人民币   万元整）</w:t>
      </w:r>
      <w:r>
        <w:rPr>
          <w:rFonts w:hint="eastAsia"/>
          <w:kern w:val="2"/>
          <w:sz w:val="24"/>
          <w:szCs w:val="24"/>
          <w:lang w:val="en-US" w:eastAsia="zh-CN"/>
        </w:rPr>
        <w:t>（审计业务合同金额的20%）</w:t>
      </w:r>
      <w:r>
        <w:rPr>
          <w:rFonts w:hint="eastAsia"/>
          <w:kern w:val="2"/>
          <w:sz w:val="24"/>
          <w:szCs w:val="24"/>
          <w:lang w:val="en-US"/>
        </w:rPr>
        <w:t>的违约金。</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2、若乙方未履行本协议规定的保密义务，给甲方造成损失的或致甲方声誉严重受损或给甲方造成其他重大不利影响的，甲方可以终止或解除与乙方之间的合作关系，乙方除应当承担人民币</w:t>
      </w:r>
      <w:r>
        <w:rPr>
          <w:rFonts w:hint="eastAsia"/>
          <w:snapToGrid w:val="0"/>
          <w:sz w:val="24"/>
        </w:rPr>
        <w:t>【】</w:t>
      </w:r>
      <w:r>
        <w:rPr>
          <w:rFonts w:hint="eastAsia"/>
          <w:kern w:val="2"/>
          <w:sz w:val="24"/>
          <w:szCs w:val="24"/>
          <w:lang w:val="en-US"/>
        </w:rPr>
        <w:t>万元（大写人民币    万元整）</w:t>
      </w:r>
      <w:r>
        <w:rPr>
          <w:rFonts w:hint="eastAsia"/>
          <w:kern w:val="2"/>
          <w:sz w:val="24"/>
          <w:szCs w:val="24"/>
          <w:lang w:val="en-US" w:eastAsia="zh-CN"/>
        </w:rPr>
        <w:t>（审计业务合同金额的20%）</w:t>
      </w:r>
      <w:r>
        <w:rPr>
          <w:rFonts w:hint="eastAsia"/>
          <w:kern w:val="2"/>
          <w:sz w:val="24"/>
          <w:szCs w:val="24"/>
          <w:lang w:val="en-US"/>
        </w:rPr>
        <w:t>的违约金外，还应承担由此给甲方及第三方造成的一切直接损失及间接损失。</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3、因乙方的违约行为侵犯了甲</w:t>
      </w:r>
      <w:bookmarkStart w:id="0" w:name="_GoBack"/>
      <w:bookmarkEnd w:id="0"/>
      <w:r>
        <w:rPr>
          <w:rFonts w:hint="eastAsia"/>
          <w:kern w:val="2"/>
          <w:sz w:val="24"/>
          <w:szCs w:val="24"/>
          <w:lang w:val="en-US"/>
        </w:rPr>
        <w:t>方的权利，甲方可以选择根据本协议要求乙方承担违约责任，和/或者根据国家有关法律、法规要求乙方承担侵权责任。</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rFonts w:hint="eastAsia"/>
          <w:b/>
          <w:sz w:val="24"/>
          <w:szCs w:val="24"/>
          <w:lang w:val="en-US"/>
        </w:rPr>
        <w:t>法律适用与争议解决</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1、本协议适用中华人民共和国法律。</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2、对于因本协议引发的或与本协议相关的争议或纠纷，双方首先应友好协商解决，协商不成的，双方一致同意任何一方均有权向甲方住所地有管辖权的人民法院提起诉讼。</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rFonts w:hint="eastAsia"/>
          <w:b/>
          <w:sz w:val="24"/>
          <w:szCs w:val="24"/>
          <w:lang w:val="en-US"/>
        </w:rPr>
        <w:t>未尽事宜</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本协议未尽事宜，双方经协商一致可根据本协议就具体事宜签署补充协议，补充协议与本协议具有同等法律效力。</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rFonts w:hint="eastAsia"/>
          <w:b/>
          <w:sz w:val="24"/>
          <w:szCs w:val="24"/>
          <w:lang w:val="en-US"/>
        </w:rPr>
        <w:t>本协议的成立和生效</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本协议自双方法定代表人或授权代表签字（章）并加盖各自公章（合同专用章）之日起成立并生效。</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rFonts w:hint="eastAsia"/>
          <w:b/>
          <w:sz w:val="24"/>
          <w:szCs w:val="24"/>
          <w:lang w:val="en-US"/>
        </w:rPr>
        <w:t>协议文本份数</w:t>
      </w:r>
    </w:p>
    <w:p>
      <w:pPr>
        <w:autoSpaceDE w:val="0"/>
        <w:autoSpaceDN w:val="0"/>
        <w:adjustRightInd w:val="0"/>
        <w:spacing w:afterLines="30" w:line="440" w:lineRule="exact"/>
        <w:ind w:firstLine="480" w:firstLineChars="200"/>
        <w:jc w:val="both"/>
        <w:rPr>
          <w:rFonts w:ascii="宋体" w:hAnsi="宋体"/>
          <w:sz w:val="24"/>
        </w:rPr>
      </w:pPr>
      <w:r>
        <w:rPr>
          <w:rFonts w:hint="eastAsia" w:ascii="宋体" w:hAnsi="宋体"/>
          <w:sz w:val="24"/>
        </w:rPr>
        <w:t>本协议正本一式肆份，甲方执贰份，乙方执贰份，均具有同等法律</w:t>
      </w:r>
      <w:r>
        <w:rPr>
          <w:rFonts w:hint="eastAsia"/>
          <w:kern w:val="2"/>
          <w:sz w:val="24"/>
          <w:szCs w:val="24"/>
          <w:lang w:val="en-US"/>
        </w:rPr>
        <w:t>效力</w:t>
      </w:r>
      <w:r>
        <w:rPr>
          <w:rFonts w:hint="eastAsia" w:ascii="宋体" w:hAnsi="宋体"/>
          <w:sz w:val="24"/>
        </w:rPr>
        <w:t>。</w:t>
      </w:r>
    </w:p>
    <w:p>
      <w:pPr>
        <w:autoSpaceDE w:val="0"/>
        <w:autoSpaceDN w:val="0"/>
        <w:adjustRightInd w:val="0"/>
        <w:spacing w:afterLines="30" w:line="440" w:lineRule="exact"/>
        <w:ind w:firstLine="482" w:firstLineChars="200"/>
        <w:jc w:val="both"/>
        <w:rPr>
          <w:rFonts w:ascii="宋体" w:hAnsi="宋体"/>
          <w:b/>
          <w:bCs/>
          <w:sz w:val="24"/>
        </w:rPr>
      </w:pPr>
      <w:r>
        <w:rPr>
          <w:rFonts w:hint="eastAsia" w:ascii="宋体" w:hAnsi="宋体"/>
          <w:b/>
          <w:bCs/>
          <w:sz w:val="24"/>
        </w:rPr>
        <w:t>第九条 通知与送达</w:t>
      </w:r>
    </w:p>
    <w:p>
      <w:pPr>
        <w:spacing w:line="500" w:lineRule="exact"/>
        <w:ind w:firstLine="480" w:firstLineChars="200"/>
        <w:rPr>
          <w:sz w:val="24"/>
          <w:szCs w:val="24"/>
        </w:rPr>
      </w:pPr>
      <w:r>
        <w:rPr>
          <w:sz w:val="24"/>
          <w:szCs w:val="24"/>
        </w:rPr>
        <w:t>1</w:t>
      </w:r>
      <w:r>
        <w:rPr>
          <w:rFonts w:hint="eastAsia"/>
          <w:sz w:val="24"/>
          <w:szCs w:val="24"/>
        </w:rPr>
        <w:t>、根据本协议需要一方向另一方发出的全部通知以及双方的文件往来及与本协议有关的通知和要求等，必须用书面形式，可采用书信、当面送交方式传递。</w:t>
      </w:r>
    </w:p>
    <w:p>
      <w:pPr>
        <w:spacing w:line="500" w:lineRule="exact"/>
        <w:ind w:firstLine="480" w:firstLineChars="200"/>
        <w:rPr>
          <w:sz w:val="24"/>
          <w:szCs w:val="24"/>
        </w:rPr>
      </w:pPr>
      <w:r>
        <w:rPr>
          <w:sz w:val="24"/>
          <w:szCs w:val="24"/>
        </w:rPr>
        <w:t>2</w:t>
      </w:r>
      <w:r>
        <w:rPr>
          <w:rFonts w:hint="eastAsia"/>
          <w:sz w:val="24"/>
          <w:szCs w:val="24"/>
        </w:rPr>
        <w:t>、双方以下通讯地址为有效的书面或当面递交之送达地址，任何一方按下述地址向对方寄送通知函，则自该通知函递送的第五个工作日视为送达日期。</w:t>
      </w:r>
    </w:p>
    <w:p>
      <w:pPr>
        <w:spacing w:line="500" w:lineRule="exact"/>
        <w:ind w:firstLine="480" w:firstLineChars="200"/>
        <w:rPr>
          <w:sz w:val="24"/>
          <w:szCs w:val="24"/>
        </w:rPr>
      </w:pPr>
      <w:r>
        <w:rPr>
          <w:rFonts w:hint="eastAsia"/>
          <w:sz w:val="24"/>
          <w:szCs w:val="24"/>
        </w:rPr>
        <w:t>甲方的送达地址：</w:t>
      </w:r>
    </w:p>
    <w:p>
      <w:pPr>
        <w:spacing w:line="500" w:lineRule="exact"/>
        <w:ind w:firstLine="480" w:firstLineChars="200"/>
        <w:rPr>
          <w:sz w:val="24"/>
          <w:szCs w:val="24"/>
        </w:rPr>
      </w:pPr>
      <w:r>
        <w:rPr>
          <w:rFonts w:hint="eastAsia"/>
          <w:sz w:val="24"/>
          <w:szCs w:val="24"/>
        </w:rPr>
        <w:t>邮政编码：</w:t>
      </w:r>
    </w:p>
    <w:p>
      <w:pPr>
        <w:spacing w:line="500" w:lineRule="exact"/>
        <w:ind w:firstLine="480" w:firstLineChars="200"/>
        <w:rPr>
          <w:sz w:val="24"/>
          <w:szCs w:val="24"/>
        </w:rPr>
      </w:pPr>
      <w:r>
        <w:rPr>
          <w:rFonts w:hint="eastAsia"/>
          <w:sz w:val="24"/>
          <w:szCs w:val="24"/>
        </w:rPr>
        <w:t>联系人及电话：</w:t>
      </w:r>
    </w:p>
    <w:p>
      <w:pPr>
        <w:spacing w:line="500" w:lineRule="exact"/>
        <w:ind w:firstLine="480" w:firstLineChars="200"/>
        <w:rPr>
          <w:sz w:val="24"/>
          <w:szCs w:val="24"/>
        </w:rPr>
      </w:pPr>
      <w:r>
        <w:rPr>
          <w:rFonts w:hint="eastAsia"/>
          <w:sz w:val="24"/>
          <w:szCs w:val="24"/>
        </w:rPr>
        <w:t>乙方的送达地址：</w:t>
      </w:r>
    </w:p>
    <w:p>
      <w:pPr>
        <w:spacing w:line="500" w:lineRule="exact"/>
        <w:ind w:firstLine="480" w:firstLineChars="200"/>
        <w:rPr>
          <w:sz w:val="24"/>
          <w:szCs w:val="24"/>
        </w:rPr>
      </w:pPr>
      <w:r>
        <w:rPr>
          <w:rFonts w:hint="eastAsia"/>
          <w:sz w:val="24"/>
          <w:szCs w:val="24"/>
        </w:rPr>
        <w:t>邮政编码：</w:t>
      </w:r>
    </w:p>
    <w:p>
      <w:pPr>
        <w:spacing w:line="500" w:lineRule="exact"/>
        <w:ind w:firstLine="480" w:firstLineChars="200"/>
        <w:rPr>
          <w:sz w:val="24"/>
          <w:szCs w:val="24"/>
        </w:rPr>
      </w:pPr>
      <w:r>
        <w:rPr>
          <w:rFonts w:hint="eastAsia"/>
          <w:sz w:val="24"/>
          <w:szCs w:val="24"/>
        </w:rPr>
        <w:t>联系人及电话：</w:t>
      </w:r>
    </w:p>
    <w:p>
      <w:pPr>
        <w:spacing w:line="500" w:lineRule="exact"/>
        <w:ind w:firstLine="480" w:firstLineChars="200"/>
        <w:rPr>
          <w:sz w:val="24"/>
          <w:szCs w:val="24"/>
        </w:rPr>
      </w:pPr>
      <w:r>
        <w:rPr>
          <w:sz w:val="24"/>
          <w:szCs w:val="24"/>
        </w:rPr>
        <w:t>3</w:t>
      </w:r>
      <w:r>
        <w:rPr>
          <w:rFonts w:hint="eastAsia"/>
          <w:sz w:val="24"/>
          <w:szCs w:val="24"/>
        </w:rPr>
        <w:t>、一方变更通知或通讯地址或联系人的，应自变更之日起2日内通知另一方；否则，由未通知方承担由此而引起的相关责任。</w:t>
      </w:r>
    </w:p>
    <w:p>
      <w:pPr>
        <w:spacing w:line="500" w:lineRule="exact"/>
        <w:ind w:firstLine="480" w:firstLineChars="200"/>
        <w:rPr>
          <w:sz w:val="24"/>
          <w:szCs w:val="24"/>
        </w:rPr>
      </w:pPr>
      <w:r>
        <w:rPr>
          <w:rFonts w:hint="eastAsia"/>
          <w:sz w:val="24"/>
          <w:szCs w:val="24"/>
        </w:rPr>
        <w:t>4、采用当面递交的，签收当日即为送达日。</w:t>
      </w:r>
    </w:p>
    <w:p>
      <w:pPr>
        <w:autoSpaceDE w:val="0"/>
        <w:autoSpaceDN w:val="0"/>
        <w:adjustRightInd w:val="0"/>
        <w:spacing w:afterLines="30" w:line="440" w:lineRule="exact"/>
        <w:ind w:firstLine="480" w:firstLineChars="200"/>
        <w:jc w:val="both"/>
        <w:rPr>
          <w:kern w:val="2"/>
          <w:sz w:val="24"/>
          <w:szCs w:val="24"/>
          <w:lang w:val="en-US"/>
        </w:rPr>
      </w:pPr>
    </w:p>
    <w:p>
      <w:pPr>
        <w:spacing w:line="360" w:lineRule="auto"/>
        <w:rPr>
          <w:rFonts w:ascii="宋体" w:hAnsi="宋体"/>
          <w:sz w:val="24"/>
        </w:rPr>
      </w:pPr>
      <w:r>
        <w:rPr>
          <w:rFonts w:hint="eastAsia" w:ascii="宋体" w:hAnsi="宋体"/>
          <w:sz w:val="24"/>
        </w:rPr>
        <w:t>（以下为四川省旅游投资集团有限责任公司</w:t>
      </w:r>
      <w:r>
        <w:rPr>
          <w:rFonts w:ascii="宋体" w:hAnsi="宋体"/>
          <w:sz w:val="24"/>
        </w:rPr>
        <w:t>与</w:t>
      </w:r>
      <w:r>
        <w:rPr>
          <w:rFonts w:hint="eastAsia"/>
          <w:snapToGrid w:val="0"/>
          <w:sz w:val="24"/>
        </w:rPr>
        <w:t>【】</w:t>
      </w:r>
      <w:r>
        <w:rPr>
          <w:rFonts w:ascii="宋体" w:hAnsi="宋体"/>
          <w:sz w:val="24"/>
        </w:rPr>
        <w:t>之</w:t>
      </w:r>
      <w:r>
        <w:rPr>
          <w:rFonts w:hint="eastAsia" w:ascii="宋体" w:hAnsi="宋体"/>
          <w:sz w:val="24"/>
        </w:rPr>
        <w:t>《保密协议》的签署处）</w:t>
      </w:r>
    </w:p>
    <w:p>
      <w:pPr>
        <w:spacing w:line="360" w:lineRule="auto"/>
        <w:rPr>
          <w:b/>
          <w:sz w:val="24"/>
        </w:rPr>
      </w:pPr>
    </w:p>
    <w:p>
      <w:pPr>
        <w:tabs>
          <w:tab w:val="left" w:pos="4320"/>
        </w:tabs>
        <w:spacing w:line="360" w:lineRule="auto"/>
        <w:ind w:firstLine="482" w:firstLineChars="200"/>
        <w:rPr>
          <w:b/>
          <w:bCs/>
          <w:sz w:val="24"/>
        </w:rPr>
      </w:pPr>
      <w:r>
        <w:rPr>
          <w:rFonts w:hAnsi="宋体"/>
          <w:b/>
          <w:sz w:val="24"/>
        </w:rPr>
        <w:t>甲方：</w:t>
      </w:r>
      <w:r>
        <w:rPr>
          <w:rFonts w:hint="eastAsia" w:hAnsi="宋体"/>
          <w:b/>
          <w:sz w:val="24"/>
        </w:rPr>
        <w:t>四川省旅游投资集团有限责任公司（盖章）</w:t>
      </w:r>
    </w:p>
    <w:p>
      <w:pPr>
        <w:spacing w:line="360" w:lineRule="auto"/>
        <w:ind w:firstLine="472" w:firstLineChars="196"/>
        <w:rPr>
          <w:b/>
          <w:sz w:val="24"/>
        </w:rPr>
      </w:pPr>
    </w:p>
    <w:p>
      <w:pPr>
        <w:spacing w:line="360" w:lineRule="auto"/>
        <w:ind w:firstLine="477" w:firstLineChars="198"/>
        <w:rPr>
          <w:b/>
          <w:bCs/>
          <w:sz w:val="24"/>
        </w:rPr>
      </w:pPr>
      <w:r>
        <w:rPr>
          <w:rFonts w:hAnsi="宋体"/>
          <w:b/>
          <w:bCs/>
          <w:sz w:val="24"/>
        </w:rPr>
        <w:t>法定代表人或授权代表：</w:t>
      </w:r>
    </w:p>
    <w:p>
      <w:pPr>
        <w:spacing w:line="360" w:lineRule="auto"/>
        <w:ind w:firstLine="477" w:firstLineChars="198"/>
        <w:rPr>
          <w:rFonts w:hAnsi="宋体"/>
          <w:b/>
          <w:bCs/>
          <w:sz w:val="24"/>
        </w:rPr>
      </w:pPr>
    </w:p>
    <w:p>
      <w:pPr>
        <w:spacing w:line="360" w:lineRule="auto"/>
        <w:ind w:firstLine="482" w:firstLineChars="200"/>
        <w:rPr>
          <w:b/>
          <w:bCs/>
          <w:sz w:val="24"/>
        </w:rPr>
      </w:pPr>
      <w:r>
        <w:rPr>
          <w:rFonts w:hAnsi="宋体"/>
          <w:b/>
          <w:bCs/>
          <w:sz w:val="24"/>
        </w:rPr>
        <w:t>签署日期：年月日</w:t>
      </w:r>
    </w:p>
    <w:p>
      <w:pPr>
        <w:spacing w:line="360" w:lineRule="auto"/>
        <w:ind w:firstLine="472" w:firstLineChars="196"/>
        <w:rPr>
          <w:b/>
          <w:sz w:val="24"/>
        </w:rPr>
      </w:pPr>
    </w:p>
    <w:p>
      <w:pPr>
        <w:spacing w:line="360" w:lineRule="auto"/>
        <w:rPr>
          <w:b/>
          <w:sz w:val="24"/>
        </w:rPr>
      </w:pPr>
    </w:p>
    <w:p>
      <w:pPr>
        <w:spacing w:line="360" w:lineRule="auto"/>
        <w:ind w:firstLine="477" w:firstLineChars="198"/>
        <w:rPr>
          <w:b/>
          <w:bCs/>
          <w:sz w:val="24"/>
        </w:rPr>
      </w:pPr>
      <w:r>
        <w:rPr>
          <w:rFonts w:hAnsi="宋体"/>
          <w:b/>
          <w:bCs/>
          <w:sz w:val="24"/>
        </w:rPr>
        <w:t>乙方：</w:t>
      </w:r>
      <w:r>
        <w:rPr>
          <w:rFonts w:hint="eastAsia"/>
          <w:b/>
          <w:bCs/>
          <w:snapToGrid w:val="0"/>
          <w:sz w:val="24"/>
        </w:rPr>
        <w:t>【】（盖章）</w:t>
      </w:r>
    </w:p>
    <w:p>
      <w:pPr>
        <w:spacing w:line="360" w:lineRule="auto"/>
        <w:ind w:firstLine="472" w:firstLineChars="196"/>
        <w:rPr>
          <w:b/>
          <w:sz w:val="24"/>
        </w:rPr>
      </w:pPr>
    </w:p>
    <w:p>
      <w:pPr>
        <w:spacing w:line="360" w:lineRule="auto"/>
        <w:ind w:firstLine="477" w:firstLineChars="198"/>
        <w:rPr>
          <w:rFonts w:hAnsi="宋体"/>
          <w:b/>
          <w:bCs/>
          <w:sz w:val="24"/>
        </w:rPr>
      </w:pPr>
      <w:r>
        <w:rPr>
          <w:rFonts w:hAnsi="宋体"/>
          <w:b/>
          <w:bCs/>
          <w:sz w:val="24"/>
        </w:rPr>
        <w:t>法定代表人或授权代表：</w:t>
      </w:r>
    </w:p>
    <w:p>
      <w:pPr>
        <w:spacing w:line="360" w:lineRule="auto"/>
        <w:ind w:firstLine="482" w:firstLineChars="200"/>
        <w:rPr>
          <w:rFonts w:hAnsi="宋体"/>
          <w:b/>
          <w:bCs/>
          <w:sz w:val="24"/>
        </w:rPr>
      </w:pPr>
    </w:p>
    <w:p>
      <w:pPr>
        <w:spacing w:line="360" w:lineRule="auto"/>
        <w:ind w:firstLine="482" w:firstLineChars="200"/>
        <w:rPr>
          <w:b/>
          <w:bCs/>
          <w:sz w:val="24"/>
        </w:rPr>
      </w:pPr>
      <w:r>
        <w:rPr>
          <w:rFonts w:hAnsi="宋体"/>
          <w:b/>
          <w:bCs/>
          <w:sz w:val="24"/>
        </w:rPr>
        <w:t>签署日期：</w:t>
      </w:r>
      <w:r>
        <w:rPr>
          <w:rFonts w:hint="eastAsia" w:hAnsi="宋体"/>
          <w:b/>
          <w:bCs/>
          <w:sz w:val="24"/>
        </w:rPr>
        <w:t xml:space="preserve">  </w:t>
      </w:r>
      <w:r>
        <w:rPr>
          <w:rFonts w:hAnsi="宋体"/>
          <w:b/>
          <w:bCs/>
          <w:sz w:val="24"/>
        </w:rPr>
        <w:t>年</w:t>
      </w:r>
      <w:r>
        <w:rPr>
          <w:rFonts w:hint="eastAsia" w:hAnsi="宋体"/>
          <w:b/>
          <w:bCs/>
          <w:sz w:val="24"/>
        </w:rPr>
        <w:t xml:space="preserve">  </w:t>
      </w:r>
      <w:r>
        <w:rPr>
          <w:rFonts w:hAnsi="宋体"/>
          <w:b/>
          <w:bCs/>
          <w:sz w:val="24"/>
        </w:rPr>
        <w:t>月</w:t>
      </w:r>
      <w:r>
        <w:rPr>
          <w:rFonts w:hint="eastAsia" w:hAnsi="宋体"/>
          <w:b/>
          <w:bCs/>
          <w:sz w:val="24"/>
        </w:rPr>
        <w:t xml:space="preserve">  </w:t>
      </w:r>
      <w:r>
        <w:rPr>
          <w:rFonts w:hAnsi="宋体"/>
          <w:b/>
          <w:bCs/>
          <w:sz w:val="24"/>
        </w:rPr>
        <w:t>日</w:t>
      </w:r>
    </w:p>
    <w:p>
      <w:pPr>
        <w:ind w:firstLine="400" w:firstLineChars="200"/>
      </w:pPr>
    </w:p>
    <w:sectPr>
      <w:headerReference r:id="rId3" w:type="default"/>
      <w:footerReference r:id="rId4" w:type="default"/>
      <w:footerReference r:id="rId5" w:type="even"/>
      <w:endnotePr>
        <w:numFmt w:val="decimal"/>
      </w:endnotePr>
      <w:pgSz w:w="11909" w:h="16834"/>
      <w:pgMar w:top="1588" w:right="1588" w:bottom="1588" w:left="1588" w:header="720" w:footer="720" w:gutter="0"/>
      <w:pgNumType w:start="0"/>
      <w:cols w:space="720" w:num="1"/>
      <w:titlePg/>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黑体">
    <w:panose1 w:val="02010609060101010101"/>
    <w:charset w:val="86"/>
    <w:family w:val="swiss"/>
    <w:pitch w:val="default"/>
    <w:sig w:usb0="800002BF" w:usb1="38CF7CFA" w:usb2="00000016" w:usb3="00000000" w:csb0="00040001"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黑体">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ind w:right="360"/>
      <w:jc w:val="center"/>
    </w:pPr>
    <w:r>
      <w:rPr>
        <w:rFonts w:hint="eastAsia"/>
        <w:szCs w:val="21"/>
      </w:rPr>
      <w:t>第</w:t>
    </w:r>
    <w:r>
      <w:rPr>
        <w:szCs w:val="21"/>
      </w:rPr>
      <w:fldChar w:fldCharType="begin"/>
    </w:r>
    <w:r>
      <w:rPr>
        <w:szCs w:val="21"/>
      </w:rPr>
      <w:instrText xml:space="preserve"> PAGE </w:instrText>
    </w:r>
    <w:r>
      <w:rPr>
        <w:szCs w:val="21"/>
      </w:rPr>
      <w:fldChar w:fldCharType="separate"/>
    </w:r>
    <w:r>
      <w:rPr>
        <w:szCs w:val="21"/>
      </w:rPr>
      <w:t>3</w:t>
    </w:r>
    <w:r>
      <w:rPr>
        <w:szCs w:val="21"/>
      </w:rPr>
      <w:fldChar w:fldCharType="end"/>
    </w:r>
    <w:r>
      <w:rPr>
        <w:rFonts w:hint="eastAsia"/>
        <w:szCs w:val="21"/>
      </w:rPr>
      <w:t>页共4页</w:t>
    </w:r>
  </w:p>
  <w:p>
    <w:pPr>
      <w:pStyle w:val="5"/>
      <w:widowControl/>
      <w:rPr>
        <w:sz w:val="14"/>
      </w:rPr>
    </w:pPr>
    <w:r>
      <w:rPr>
        <w:rStyle w:val="8"/>
        <w:sz w:val="14"/>
      </w:rPr>
      <w:tab/>
    </w:r>
    <w:r>
      <w:rPr>
        <w:rStyle w:val="8"/>
        <w:sz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framePr w:wrap="around" w:vAnchor="text" w:hAnchor="margin" w:xAlign="center" w:y="1"/>
      <w:widowControl/>
      <w:rPr>
        <w:rStyle w:val="8"/>
      </w:rPr>
    </w:pPr>
    <w:r>
      <w:rPr>
        <w:rStyle w:val="8"/>
      </w:rPr>
      <w:fldChar w:fldCharType="begin"/>
    </w:r>
    <w:r>
      <w:rPr>
        <w:rStyle w:val="8"/>
      </w:rPr>
      <w:instrText xml:space="preserve">page  </w:instrText>
    </w:r>
    <w:r>
      <w:rPr>
        <w:rStyle w:val="8"/>
      </w:rPr>
      <w:fldChar w:fldCharType="separate"/>
    </w:r>
    <w:r>
      <w:rPr>
        <w:rStyle w:val="8"/>
      </w:rPr>
      <w:t>4</w:t>
    </w:r>
    <w:r>
      <w:rPr>
        <w:rStyle w:val="8"/>
      </w:rPr>
      <w:fldChar w:fldCharType="end"/>
    </w:r>
  </w:p>
  <w:p>
    <w:pPr>
      <w:pStyle w:val="5"/>
      <w:widowControl/>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afterLines="50"/>
      <w:jc w:val="center"/>
      <w:rPr>
        <w:rStyle w:val="13"/>
        <w:b w:val="0"/>
        <w:color w:val="auto"/>
        <w:sz w:val="21"/>
        <w:szCs w:val="21"/>
        <w:u w:val="none"/>
      </w:rPr>
    </w:pPr>
    <w:r>
      <w:rPr>
        <w:rStyle w:val="13"/>
        <w:rFonts w:hint="eastAsia"/>
        <w:b w:val="0"/>
        <w:color w:val="auto"/>
        <w:sz w:val="21"/>
        <w:szCs w:val="21"/>
        <w:u w:val="none"/>
      </w:rPr>
      <w:t>保密协议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29417695">
    <w:nsid w:val="49476CDF"/>
    <w:multiLevelType w:val="multilevel"/>
    <w:tmpl w:val="49476CDF"/>
    <w:lvl w:ilvl="0" w:tentative="1">
      <w:start w:val="1"/>
      <w:numFmt w:val="japaneseCounting"/>
      <w:lvlText w:val="第%1条"/>
      <w:lvlJc w:val="left"/>
      <w:pPr>
        <w:ind w:left="1953" w:hanging="960"/>
      </w:pPr>
      <w:rPr>
        <w:rFonts w:hint="default"/>
      </w:rPr>
    </w:lvl>
    <w:lvl w:ilvl="1" w:tentative="1">
      <w:start w:val="1"/>
      <w:numFmt w:val="lowerLetter"/>
      <w:lvlText w:val="%2)"/>
      <w:lvlJc w:val="left"/>
      <w:pPr>
        <w:ind w:left="1322" w:hanging="420"/>
      </w:pPr>
    </w:lvl>
    <w:lvl w:ilvl="2" w:tentative="1">
      <w:start w:val="1"/>
      <w:numFmt w:val="lowerRoman"/>
      <w:lvlText w:val="%3."/>
      <w:lvlJc w:val="right"/>
      <w:pPr>
        <w:ind w:left="1742" w:hanging="420"/>
      </w:pPr>
    </w:lvl>
    <w:lvl w:ilvl="3" w:tentative="1">
      <w:start w:val="1"/>
      <w:numFmt w:val="decimal"/>
      <w:lvlText w:val="%4."/>
      <w:lvlJc w:val="left"/>
      <w:pPr>
        <w:ind w:left="2162" w:hanging="420"/>
      </w:pPr>
    </w:lvl>
    <w:lvl w:ilvl="4" w:tentative="1">
      <w:start w:val="1"/>
      <w:numFmt w:val="lowerLetter"/>
      <w:lvlText w:val="%5)"/>
      <w:lvlJc w:val="left"/>
      <w:pPr>
        <w:ind w:left="2582" w:hanging="420"/>
      </w:pPr>
    </w:lvl>
    <w:lvl w:ilvl="5" w:tentative="1">
      <w:start w:val="1"/>
      <w:numFmt w:val="lowerRoman"/>
      <w:lvlText w:val="%6."/>
      <w:lvlJc w:val="right"/>
      <w:pPr>
        <w:ind w:left="3002" w:hanging="420"/>
      </w:pPr>
    </w:lvl>
    <w:lvl w:ilvl="6" w:tentative="1">
      <w:start w:val="1"/>
      <w:numFmt w:val="decimal"/>
      <w:lvlText w:val="%7."/>
      <w:lvlJc w:val="left"/>
      <w:pPr>
        <w:ind w:left="3422" w:hanging="420"/>
      </w:pPr>
    </w:lvl>
    <w:lvl w:ilvl="7" w:tentative="1">
      <w:start w:val="1"/>
      <w:numFmt w:val="lowerLetter"/>
      <w:lvlText w:val="%8)"/>
      <w:lvlJc w:val="left"/>
      <w:pPr>
        <w:ind w:left="3842" w:hanging="420"/>
      </w:pPr>
    </w:lvl>
    <w:lvl w:ilvl="8" w:tentative="1">
      <w:start w:val="1"/>
      <w:numFmt w:val="lowerRoman"/>
      <w:lvlText w:val="%9."/>
      <w:lvlJc w:val="right"/>
      <w:pPr>
        <w:ind w:left="4262" w:hanging="420"/>
      </w:pPr>
    </w:lvl>
  </w:abstractNum>
  <w:num w:numId="1">
    <w:abstractNumId w:val="12294176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62C2C"/>
    <w:rsid w:val="000062FF"/>
    <w:rsid w:val="00031159"/>
    <w:rsid w:val="00046FF6"/>
    <w:rsid w:val="00057D58"/>
    <w:rsid w:val="000B266F"/>
    <w:rsid w:val="000B4F7A"/>
    <w:rsid w:val="000C5B68"/>
    <w:rsid w:val="00100828"/>
    <w:rsid w:val="00123E7B"/>
    <w:rsid w:val="001A0829"/>
    <w:rsid w:val="001D3655"/>
    <w:rsid w:val="00215E43"/>
    <w:rsid w:val="002211C1"/>
    <w:rsid w:val="00224009"/>
    <w:rsid w:val="002954C9"/>
    <w:rsid w:val="002A2D83"/>
    <w:rsid w:val="00334FD3"/>
    <w:rsid w:val="00351A93"/>
    <w:rsid w:val="00367F5C"/>
    <w:rsid w:val="00383680"/>
    <w:rsid w:val="003B4DE4"/>
    <w:rsid w:val="003C2465"/>
    <w:rsid w:val="003F381D"/>
    <w:rsid w:val="0041515B"/>
    <w:rsid w:val="0041538D"/>
    <w:rsid w:val="004231C1"/>
    <w:rsid w:val="0048332A"/>
    <w:rsid w:val="004A05AF"/>
    <w:rsid w:val="004B49CF"/>
    <w:rsid w:val="004C067C"/>
    <w:rsid w:val="004D35C9"/>
    <w:rsid w:val="004D3B23"/>
    <w:rsid w:val="004E4D4E"/>
    <w:rsid w:val="00537745"/>
    <w:rsid w:val="00537C19"/>
    <w:rsid w:val="00541D92"/>
    <w:rsid w:val="00593223"/>
    <w:rsid w:val="005C30F8"/>
    <w:rsid w:val="006620E7"/>
    <w:rsid w:val="00675F40"/>
    <w:rsid w:val="00682436"/>
    <w:rsid w:val="00687650"/>
    <w:rsid w:val="006A48D4"/>
    <w:rsid w:val="006F3A6B"/>
    <w:rsid w:val="00740948"/>
    <w:rsid w:val="007E0EAD"/>
    <w:rsid w:val="00844E8F"/>
    <w:rsid w:val="00856EB9"/>
    <w:rsid w:val="008B234D"/>
    <w:rsid w:val="008D16D0"/>
    <w:rsid w:val="008F7782"/>
    <w:rsid w:val="00903B73"/>
    <w:rsid w:val="009158E4"/>
    <w:rsid w:val="00924F43"/>
    <w:rsid w:val="00943277"/>
    <w:rsid w:val="00960C85"/>
    <w:rsid w:val="00997B9D"/>
    <w:rsid w:val="009B7169"/>
    <w:rsid w:val="00A07DCE"/>
    <w:rsid w:val="00A4334B"/>
    <w:rsid w:val="00A669E4"/>
    <w:rsid w:val="00AB08DD"/>
    <w:rsid w:val="00AE1849"/>
    <w:rsid w:val="00AF3B47"/>
    <w:rsid w:val="00B21FC4"/>
    <w:rsid w:val="00B36FC1"/>
    <w:rsid w:val="00B623A0"/>
    <w:rsid w:val="00B62C2C"/>
    <w:rsid w:val="00BA658F"/>
    <w:rsid w:val="00BE487D"/>
    <w:rsid w:val="00C00A52"/>
    <w:rsid w:val="00C30251"/>
    <w:rsid w:val="00C95454"/>
    <w:rsid w:val="00CD6ADD"/>
    <w:rsid w:val="00CD7167"/>
    <w:rsid w:val="00CE1F3E"/>
    <w:rsid w:val="00D41283"/>
    <w:rsid w:val="00D6013D"/>
    <w:rsid w:val="00D6401E"/>
    <w:rsid w:val="00D64E08"/>
    <w:rsid w:val="00D838F1"/>
    <w:rsid w:val="00D850FE"/>
    <w:rsid w:val="00DE21FB"/>
    <w:rsid w:val="00E13158"/>
    <w:rsid w:val="00E841AF"/>
    <w:rsid w:val="00EE2AE9"/>
    <w:rsid w:val="00EF29F8"/>
    <w:rsid w:val="00F00141"/>
    <w:rsid w:val="00F15C33"/>
    <w:rsid w:val="00F46690"/>
    <w:rsid w:val="00F8783D"/>
    <w:rsid w:val="00FA6D3F"/>
    <w:rsid w:val="00FB6BCF"/>
    <w:rsid w:val="00FE0CDA"/>
    <w:rsid w:val="00FF08AD"/>
    <w:rsid w:val="02B2261D"/>
    <w:rsid w:val="1518686A"/>
    <w:rsid w:val="30A61FE2"/>
    <w:rsid w:val="368863EC"/>
    <w:rsid w:val="3F713B82"/>
    <w:rsid w:val="4AD5682F"/>
    <w:rsid w:val="4FBC44D1"/>
    <w:rsid w:val="50767EC5"/>
    <w:rsid w:val="54FA72A3"/>
    <w:rsid w:val="60391CCD"/>
    <w:rsid w:val="78E3506A"/>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宋体" w:cs="Times New Roman"/>
      <w:lang w:val="en-GB" w:eastAsia="zh-CN" w:bidi="ar-SA"/>
    </w:rPr>
  </w:style>
  <w:style w:type="character" w:default="1" w:styleId="7">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7"/>
    <w:unhideWhenUsed/>
    <w:qFormat/>
    <w:uiPriority w:val="99"/>
    <w:rPr>
      <w:b/>
      <w:bCs/>
      <w:kern w:val="0"/>
      <w:sz w:val="20"/>
      <w:szCs w:val="20"/>
    </w:rPr>
  </w:style>
  <w:style w:type="paragraph" w:styleId="3">
    <w:name w:val="annotation text"/>
    <w:basedOn w:val="1"/>
    <w:link w:val="16"/>
    <w:unhideWhenUsed/>
    <w:qFormat/>
    <w:uiPriority w:val="99"/>
    <w:rPr>
      <w:kern w:val="2"/>
      <w:sz w:val="21"/>
      <w:szCs w:val="24"/>
    </w:rPr>
  </w:style>
  <w:style w:type="paragraph" w:styleId="4">
    <w:name w:val="Balloon Text"/>
    <w:basedOn w:val="1"/>
    <w:link w:val="14"/>
    <w:unhideWhenUsed/>
    <w:qFormat/>
    <w:uiPriority w:val="99"/>
    <w:rPr>
      <w:sz w:val="18"/>
      <w:szCs w:val="18"/>
    </w:rPr>
  </w:style>
  <w:style w:type="paragraph" w:styleId="5">
    <w:name w:val="footer"/>
    <w:basedOn w:val="1"/>
    <w:link w:val="12"/>
    <w:unhideWhenUsed/>
    <w:qFormat/>
    <w:uiPriority w:val="0"/>
    <w:pPr>
      <w:tabs>
        <w:tab w:val="center" w:pos="4153"/>
        <w:tab w:val="right" w:pos="8306"/>
      </w:tabs>
      <w:snapToGrid w:val="0"/>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rPr>
      <w:sz w:val="20"/>
    </w:rPr>
  </w:style>
  <w:style w:type="character" w:styleId="9">
    <w:name w:val="annotation reference"/>
    <w:unhideWhenUsed/>
    <w:qFormat/>
    <w:uiPriority w:val="99"/>
    <w:rPr>
      <w:sz w:val="21"/>
      <w:szCs w:val="21"/>
    </w:rPr>
  </w:style>
  <w:style w:type="character" w:customStyle="1" w:styleId="11">
    <w:name w:val="页眉 Char"/>
    <w:basedOn w:val="7"/>
    <w:link w:val="6"/>
    <w:qFormat/>
    <w:uiPriority w:val="99"/>
    <w:rPr>
      <w:sz w:val="18"/>
      <w:szCs w:val="18"/>
    </w:rPr>
  </w:style>
  <w:style w:type="character" w:customStyle="1" w:styleId="12">
    <w:name w:val="页脚 Char"/>
    <w:basedOn w:val="7"/>
    <w:link w:val="5"/>
    <w:qFormat/>
    <w:uiPriority w:val="99"/>
    <w:rPr>
      <w:sz w:val="18"/>
      <w:szCs w:val="18"/>
    </w:rPr>
  </w:style>
  <w:style w:type="character" w:customStyle="1" w:styleId="13">
    <w:name w:val="明显参考1"/>
    <w:basedOn w:val="7"/>
    <w:qFormat/>
    <w:uiPriority w:val="32"/>
    <w:rPr>
      <w:b/>
      <w:bCs/>
      <w:smallCaps/>
      <w:color w:val="C0504D"/>
      <w:spacing w:val="5"/>
      <w:u w:val="single"/>
    </w:rPr>
  </w:style>
  <w:style w:type="character" w:customStyle="1" w:styleId="14">
    <w:name w:val="批注框文本 Char"/>
    <w:basedOn w:val="7"/>
    <w:link w:val="4"/>
    <w:semiHidden/>
    <w:qFormat/>
    <w:uiPriority w:val="99"/>
    <w:rPr>
      <w:rFonts w:ascii="Times New Roman" w:hAnsi="Times New Roman" w:eastAsia="宋体" w:cs="Times New Roman"/>
      <w:kern w:val="0"/>
      <w:sz w:val="18"/>
      <w:szCs w:val="18"/>
      <w:lang w:val="en-GB"/>
    </w:rPr>
  </w:style>
  <w:style w:type="paragraph" w:customStyle="1" w:styleId="15">
    <w:name w:val="List Paragraph"/>
    <w:basedOn w:val="1"/>
    <w:qFormat/>
    <w:uiPriority w:val="34"/>
    <w:pPr>
      <w:ind w:firstLine="420" w:firstLineChars="200"/>
    </w:pPr>
  </w:style>
  <w:style w:type="character" w:customStyle="1" w:styleId="16">
    <w:name w:val="批注文字 Char"/>
    <w:basedOn w:val="7"/>
    <w:link w:val="3"/>
    <w:semiHidden/>
    <w:qFormat/>
    <w:uiPriority w:val="99"/>
    <w:rPr>
      <w:rFonts w:ascii="Times New Roman" w:hAnsi="Times New Roman" w:eastAsia="宋体" w:cs="Times New Roman"/>
      <w:szCs w:val="24"/>
    </w:rPr>
  </w:style>
  <w:style w:type="character" w:customStyle="1" w:styleId="17">
    <w:name w:val="批注主题 Char"/>
    <w:basedOn w:val="16"/>
    <w:link w:val="2"/>
    <w:semiHidden/>
    <w:qFormat/>
    <w:uiPriority w:val="99"/>
    <w:rPr>
      <w:rFonts w:ascii="Times New Roman" w:hAnsi="Times New Roman" w:eastAsia="宋体" w:cs="Times New Roman"/>
      <w:b/>
      <w:bCs/>
      <w:kern w:val="0"/>
      <w:sz w:val="20"/>
      <w:szCs w:val="20"/>
      <w:lang w:val="en-G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FzArch</Company>
  <Pages>5</Pages>
  <Words>354</Words>
  <Characters>2023</Characters>
  <Lines>16</Lines>
  <Paragraphs>4</Paragraphs>
  <TotalTime>0</TotalTime>
  <ScaleCrop>false</ScaleCrop>
  <LinksUpToDate>false</LinksUpToDate>
  <CharactersWithSpaces>2373</CharactersWithSpaces>
  <Application>WPS Office_10.6.0.5368_F1E327BC-269C-435d-A152-05C5408002CA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2018-07-18T09:29:00Z</dcterms:created>
  <dc:creator>Think</dc:creator>
  <cp:lastModifiedBy>g</cp:lastModifiedBy>
  <dcterms:modified xsi:type="dcterms:W3CDTF">2019-01-16T09:58:46Z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2052-10.6.0.5368</vt:lpwstr>
  </property>
</Properties>
</file>